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6378D" w:rsidRDefault="00C6378D" w:rsidP="00C6378D">
      <w:pPr>
        <w:pStyle w:val="Textoindependiente"/>
        <w:spacing w:after="0"/>
        <w:contextualSpacing/>
        <w:jc w:val="both"/>
        <w:rPr>
          <w:color w:val="000000"/>
        </w:rPr>
      </w:pPr>
      <w:r>
        <w:rPr>
          <w:color w:val="000000"/>
        </w:rPr>
        <w:t xml:space="preserve">Análisis comparativo detallado entre las especificaciones de la licitación de la ciudad de Cartagena (Anexo 3. ESPECIFICACIONES TECNICAS AUTOBUSES TRANSCARIBE (1)) y la oferta del </w:t>
      </w:r>
      <w:r>
        <w:rPr>
          <w:color w:val="000000"/>
        </w:rPr>
        <w:t>PADRON ELECTRICO DD6129EV24E</w:t>
      </w:r>
    </w:p>
    <w:p w:rsidR="00C6378D" w:rsidRDefault="00C6378D" w:rsidP="00C6378D">
      <w:pPr>
        <w:pStyle w:val="Textoindependiente"/>
        <w:spacing w:after="0"/>
        <w:contextualSpacing/>
        <w:jc w:val="both"/>
        <w:rPr>
          <w:rFonts w:hint="eastAsia"/>
          <w:color w:val="000000"/>
        </w:rPr>
      </w:pPr>
    </w:p>
    <w:tbl>
      <w:tblPr>
        <w:tblW w:w="9972" w:type="dxa"/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78"/>
        <w:gridCol w:w="2062"/>
        <w:gridCol w:w="1947"/>
        <w:gridCol w:w="1600"/>
        <w:gridCol w:w="2485"/>
      </w:tblGrid>
      <w:tr w:rsidR="008B4B0D">
        <w:trPr>
          <w:tblHeader/>
        </w:trPr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F2F2F2"/>
            <w:vAlign w:val="center"/>
          </w:tcPr>
          <w:p w:rsidR="008B4B0D" w:rsidRDefault="00000000">
            <w:pPr>
              <w:pStyle w:val="TableHeading"/>
              <w:jc w:val="left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Aspecto Analizado</w:t>
            </w: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F2F2F2"/>
            <w:vAlign w:val="center"/>
          </w:tcPr>
          <w:p w:rsidR="008B4B0D" w:rsidRDefault="00000000">
            <w:pPr>
              <w:pStyle w:val="TableHeading"/>
              <w:jc w:val="left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Especificación Licitación (Anexo 3)</w:t>
            </w: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F2F2F2"/>
            <w:vAlign w:val="center"/>
          </w:tcPr>
          <w:p w:rsidR="008B4B0D" w:rsidRDefault="00000000">
            <w:pPr>
              <w:pStyle w:val="TableHeading"/>
              <w:jc w:val="left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Especificación Oferta (DD6129EV24E)</w:t>
            </w: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F2F2F2"/>
            <w:vAlign w:val="center"/>
          </w:tcPr>
          <w:p w:rsidR="008B4B0D" w:rsidRDefault="00000000">
            <w:pPr>
              <w:pStyle w:val="TableHeading"/>
              <w:jc w:val="left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Conformidad</w:t>
            </w: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F2F2F2"/>
            <w:vAlign w:val="center"/>
          </w:tcPr>
          <w:p w:rsidR="008B4B0D" w:rsidRDefault="00000000">
            <w:pPr>
              <w:pStyle w:val="TableHeading"/>
              <w:jc w:val="left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Justificación / Observación</w:t>
            </w: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Tipo de Cuerpo</w:t>
            </w: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Autobús de un solo cuerpo (3.1.i)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51</w:t>
            </w: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"12-meter EV City Bus" (un solo cuerpo)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</w:t>
            </w: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✅ CUMPLE</w:t>
            </w: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oferta se alinea con este requisito.</w:t>
            </w: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Motorización</w:t>
            </w: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Motores Eléctricos, GNV y/o Híbrido GNV-Eléctrico con tecnología Euro VI o superior (3.1.j)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51</w:t>
            </w: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"EV City Bus" con "Electric drive </w:t>
            </w:r>
            <w:proofErr w:type="spellStart"/>
            <w:r>
              <w:rPr>
                <w:color w:val="000000"/>
              </w:rPr>
              <w:t>system</w:t>
            </w:r>
            <w:proofErr w:type="spellEnd"/>
            <w:r>
              <w:rPr>
                <w:color w:val="000000"/>
              </w:rPr>
              <w:t>"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</w:t>
            </w: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✅ CUMPLE</w:t>
            </w: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Es un vehículo 100% eléctrico, lo cual cumple y supera el estándar de emisiones.</w:t>
            </w: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Autonomía Mínima</w:t>
            </w: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Mínimo 300 km (3.1.k, 3.4.1.a, 3.4.3.3.b) 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51</w:t>
            </w: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Batería de 321.02kWh (no se declara autonomía en km)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2</w:t>
            </w: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❌ NO CUMPLE (Requiere Aclaración)</w:t>
            </w: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oferta no especifica la autonomía garantizada en km, que es un requisito directo de la licitación. La capacidad de la batería por sí sola no es suficiente.</w:t>
            </w: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Vida Útil de Baterías</w:t>
            </w: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15 años (Pag 51 - 3.1.m) o mantener capacidad de carga 10 años ( Pag 91 - 3.4.3.3.d)</w:t>
            </w:r>
          </w:p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No especificado en años.</w:t>
            </w:r>
          </w:p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❌ NO CUMPLE</w:t>
            </w: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oferta no declara la vida útil de las baterías ni el compromiso de reemplazo gratuito si fuera menor a 15 años.</w:t>
            </w: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Masa Total Admisible</w:t>
            </w: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No debe superar 18.000 </w:t>
            </w:r>
            <w:proofErr w:type="spellStart"/>
            <w:r>
              <w:rPr>
                <w:color w:val="000000"/>
              </w:rPr>
              <w:t>kgf</w:t>
            </w:r>
            <w:proofErr w:type="spellEnd"/>
            <w:r>
              <w:rPr>
                <w:color w:val="000000"/>
              </w:rPr>
              <w:t xml:space="preserve"> (3.1.5)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52</w:t>
            </w: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"Total </w:t>
            </w:r>
            <w:proofErr w:type="spellStart"/>
            <w:r>
              <w:rPr>
                <w:color w:val="000000"/>
              </w:rPr>
              <w:t>mass</w:t>
            </w:r>
            <w:proofErr w:type="spellEnd"/>
            <w:r>
              <w:rPr>
                <w:color w:val="000000"/>
              </w:rPr>
              <w:t xml:space="preserve"> (Kg) 18000"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</w:t>
            </w: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 (Requiere Aclaración)</w:t>
            </w: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oferta coincide con el peso máximo admisible, pero no presenta el peso en orden de marcha.</w:t>
            </w: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Carga Máxima por Eje (Delantero/Trase</w:t>
            </w:r>
            <w:r>
              <w:rPr>
                <w:color w:val="000000"/>
              </w:rPr>
              <w:lastRenderedPageBreak/>
              <w:t>ro)</w:t>
            </w: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 xml:space="preserve">Max Eje delantero: 7.500 kg. Max Eje </w:t>
            </w:r>
            <w:r>
              <w:rPr>
                <w:color w:val="000000"/>
              </w:rPr>
              <w:lastRenderedPageBreak/>
              <w:t>trasero: 13.000 kg. (Tabla 1, 3.1.6)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53</w:t>
            </w:r>
          </w:p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 xml:space="preserve">Eje delantero: 6500 kg. Eje trasero: 11500 </w:t>
            </w:r>
            <w:r>
              <w:rPr>
                <w:color w:val="000000"/>
              </w:rPr>
              <w:lastRenderedPageBreak/>
              <w:t>kg.</w:t>
            </w:r>
          </w:p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</w:t>
            </w: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 xml:space="preserve"> CUMPLE</w:t>
            </w: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Ambos ejes están por debajo de la capacidad de carga </w:t>
            </w:r>
            <w:proofErr w:type="spellStart"/>
            <w:r>
              <w:rPr>
                <w:color w:val="000000"/>
              </w:rPr>
              <w:t>maxima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requerida por la licitación (7.500kg vs 6.500kg y 13.000kg vs 11.500kg). </w:t>
            </w: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>Dimensiones Externas (Largo/Ancho/Alto)</w:t>
            </w: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Máximo Largo: 12.5 m; Ancho: 2.6 m; Altura: 3.85 m. (Tabla 3, 3.1.8)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53</w:t>
            </w: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Largo: 12.0 m; Ancho: 2.55 m; Altura: 3.7 m.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</w:t>
            </w: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✅ CUMPLE</w:t>
            </w: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Todas las dimensiones de la oferta están dentro de los límites máximos establecidos.</w:t>
            </w: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Capacidad de Pasajeros</w:t>
            </w: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Total: 90 pasajeros (mínimo 24 sillas) (3.2.2.3.k) 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proofErr w:type="spellStart"/>
            <w:r>
              <w:rPr>
                <w:color w:val="000000"/>
              </w:rPr>
              <w:t>pag</w:t>
            </w:r>
            <w:proofErr w:type="spellEnd"/>
            <w:r>
              <w:rPr>
                <w:color w:val="000000"/>
              </w:rPr>
              <w:t xml:space="preserve"> 62 </w:t>
            </w:r>
          </w:p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Total: 78 pasajeros (26 sillas + 1 conductor)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</w:t>
            </w: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❌ NO CUMPLE</w:t>
            </w: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capacidad total ofrecida (78) es inferior a la requerida (90).</w:t>
            </w: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Suspensión</w:t>
            </w: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Totalmente neumática, ECAS y sensores de peso  (3.2.1.3.e,f,c,d) </w:t>
            </w:r>
            <w:proofErr w:type="spellStart"/>
            <w:r>
              <w:rPr>
                <w:color w:val="000000"/>
              </w:rPr>
              <w:t>pag</w:t>
            </w:r>
            <w:proofErr w:type="spellEnd"/>
            <w:r>
              <w:rPr>
                <w:color w:val="000000"/>
              </w:rPr>
              <w:t xml:space="preserve"> 19 y 136</w:t>
            </w: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"Airbag </w:t>
            </w:r>
            <w:proofErr w:type="spellStart"/>
            <w:r>
              <w:rPr>
                <w:color w:val="000000"/>
              </w:rPr>
              <w:t>suspension</w:t>
            </w:r>
            <w:proofErr w:type="spellEnd"/>
            <w:r>
              <w:rPr>
                <w:color w:val="000000"/>
              </w:rPr>
              <w:t>" (no se menciona ECAS ni sensores de peso)</w:t>
            </w:r>
          </w:p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❌ NO CUMPLE</w:t>
            </w: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No se especifica explícitamente el control electrónico (ECAS) ni los sensores de peso integrados en la red CAN.</w:t>
            </w: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Frenos (Especificaciones)</w:t>
            </w: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ABS de doble circuito, distancia de parada máx. 10.7m (a 32 KPH), freno de estacionamiento para 20% pendiente, frenado regenerativo Categoría B (3.2.1.4.i,n,h)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54</w:t>
            </w:r>
          </w:p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EBS (con ASR), frenos de disco. (no se menciona distancia, pendiente, Categoría B)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2</w:t>
            </w: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❌ NO CUMPLE</w:t>
            </w: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Faltan detalles críticos como la distancia de parada, la capacidad del freno de estacionamiento para la pendiente del 20% y la certificación del frenado regenerativo en Categoría B.</w:t>
            </w: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Velocidad Máxima Operacional</w:t>
            </w: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No superior a 60 Km/h (limitada) (3.2.1.9.g, 3.4.2.a)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58</w:t>
            </w:r>
          </w:p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 xml:space="preserve">"Max. </w:t>
            </w:r>
            <w:proofErr w:type="spellStart"/>
            <w:r>
              <w:rPr>
                <w:color w:val="000000"/>
              </w:rPr>
              <w:t>speed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kwh</w:t>
            </w:r>
            <w:proofErr w:type="spellEnd"/>
            <w:r>
              <w:rPr>
                <w:color w:val="000000"/>
              </w:rPr>
              <w:t>): 69"</w:t>
            </w:r>
          </w:p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</w:t>
            </w: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❌ NO CUMPLE</w:t>
            </w: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La velocidad máxima inherente del vehículo excede el límite operacional requerido por la licitación. </w:t>
            </w:r>
            <w:r>
              <w:rPr>
                <w:color w:val="000000"/>
              </w:rPr>
              <w:lastRenderedPageBreak/>
              <w:t>Aunque podría limitarse, el valor base es mayor.</w:t>
            </w: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>Capacidad de Ascenso (</w:t>
            </w:r>
            <w:proofErr w:type="spellStart"/>
            <w:r>
              <w:rPr>
                <w:color w:val="000000"/>
              </w:rPr>
              <w:t>Gradabilidad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Arranque en pendiente máxima: 20% (3.4.2.c)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90</w:t>
            </w: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"</w:t>
            </w:r>
            <w:proofErr w:type="spellStart"/>
            <w:r>
              <w:rPr>
                <w:color w:val="000000"/>
              </w:rPr>
              <w:t>Maximum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gradability</w:t>
            </w:r>
            <w:proofErr w:type="spellEnd"/>
            <w:r>
              <w:rPr>
                <w:color w:val="000000"/>
              </w:rPr>
              <w:t>（</w:t>
            </w:r>
            <w:r>
              <w:rPr>
                <w:color w:val="000000"/>
              </w:rPr>
              <w:t>%</w:t>
            </w:r>
            <w:r>
              <w:rPr>
                <w:color w:val="000000"/>
              </w:rPr>
              <w:t>）</w:t>
            </w:r>
            <w:r>
              <w:rPr>
                <w:color w:val="000000"/>
              </w:rPr>
              <w:t>: 15"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</w:t>
            </w:r>
          </w:p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❌ NO CUMPLE</w:t>
            </w: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capacidad de ascenso de la oferta es significativamente inferior al requisito mínimo del 20%. Esto limita la operación en rutas con pendientes.</w:t>
            </w: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Iluminación Externa</w:t>
            </w: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LED o superior (3.2.2.5.1.l)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66</w:t>
            </w: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"</w:t>
            </w:r>
            <w:proofErr w:type="spellStart"/>
            <w:r>
              <w:rPr>
                <w:color w:val="000000"/>
              </w:rPr>
              <w:t>Halogen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combination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lamps</w:t>
            </w:r>
            <w:proofErr w:type="spellEnd"/>
            <w:r>
              <w:rPr>
                <w:color w:val="000000"/>
              </w:rPr>
              <w:t xml:space="preserve"> at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front</w:t>
            </w:r>
            <w:proofErr w:type="spellEnd"/>
            <w:r>
              <w:rPr>
                <w:color w:val="000000"/>
              </w:rPr>
              <w:t xml:space="preserve"> and </w:t>
            </w:r>
            <w:proofErr w:type="spellStart"/>
            <w:r>
              <w:rPr>
                <w:color w:val="000000"/>
              </w:rPr>
              <w:t>rear</w:t>
            </w:r>
            <w:proofErr w:type="spellEnd"/>
            <w:r>
              <w:rPr>
                <w:color w:val="000000"/>
              </w:rPr>
              <w:t>"</w:t>
            </w:r>
          </w:p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Pag 4 - </w:t>
            </w:r>
            <w:proofErr w:type="spellStart"/>
            <w:r>
              <w:rPr>
                <w:color w:val="000000"/>
              </w:rPr>
              <w:t>num</w:t>
            </w:r>
            <w:proofErr w:type="spellEnd"/>
            <w:r>
              <w:rPr>
                <w:color w:val="000000"/>
              </w:rPr>
              <w:t xml:space="preserve"> 5</w:t>
            </w: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❌ NO CUMPLE</w:t>
            </w: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Las luces halógenas no cumplen con el requisito de tecnología LED o superior.</w:t>
            </w: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</w:tr>
      <w:tr w:rsidR="008B4B0D">
        <w:tc>
          <w:tcPr>
            <w:tcW w:w="187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Tiempo de Recarga</w:t>
            </w:r>
          </w:p>
        </w:tc>
        <w:tc>
          <w:tcPr>
            <w:tcW w:w="206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Máximo 2 horas (3.4.3.3.a)</w:t>
            </w:r>
          </w:p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91</w:t>
            </w:r>
          </w:p>
          <w:p w:rsidR="008B4B0D" w:rsidRDefault="008B4B0D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947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No especificado.</w:t>
            </w:r>
          </w:p>
        </w:tc>
        <w:tc>
          <w:tcPr>
            <w:tcW w:w="160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❌ NO CUMPLE (Información no Proporcionada)</w:t>
            </w:r>
          </w:p>
        </w:tc>
        <w:tc>
          <w:tcPr>
            <w:tcW w:w="248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8B4B0D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oferta no proporciona el tiempo de recarga de las baterías, un dato esencial para la planificación operativa.</w:t>
            </w:r>
          </w:p>
        </w:tc>
      </w:tr>
    </w:tbl>
    <w:p w:rsidR="008B4B0D" w:rsidRDefault="008B4B0D">
      <w:pPr>
        <w:pStyle w:val="Ttulo3"/>
        <w:rPr>
          <w:rFonts w:hint="eastAsia"/>
        </w:rPr>
      </w:pPr>
    </w:p>
    <w:sectPr w:rsidR="008B4B0D">
      <w:pgSz w:w="12240" w:h="15840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9"/>
  <w:autoHyphenation/>
  <w:hyphenationZone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4B0D"/>
    <w:rsid w:val="008B4B0D"/>
    <w:rsid w:val="00C6378D"/>
    <w:rsid w:val="00E4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CD6827"/>
  <w15:docId w15:val="{A1F1BF0E-B599-5D45-B3A3-D649AF79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es-CO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Heading"/>
    <w:next w:val="Textoindependiente"/>
    <w:uiPriority w:val="9"/>
    <w:unhideWhenUsed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qFormat/>
    <w:rPr>
      <w:b/>
      <w:bCs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635</Words>
  <Characters>3493</Characters>
  <Application>Microsoft Office Word</Application>
  <DocSecurity>0</DocSecurity>
  <Lines>29</Lines>
  <Paragraphs>8</Paragraphs>
  <ScaleCrop>false</ScaleCrop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Dionisio Arango Botero</cp:lastModifiedBy>
  <cp:revision>2</cp:revision>
  <dcterms:created xsi:type="dcterms:W3CDTF">2025-09-30T07:03:00Z</dcterms:created>
  <dcterms:modified xsi:type="dcterms:W3CDTF">2025-09-30T07:05:00Z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2025-09-27T00:49:25Z</dcterms:created>
  <dc:creator/>
  <dc:description/>
  <dc:language>en-US</dc:language>
  <cp:lastModifiedBy/>
  <dcterms:modified xsi:type="dcterms:W3CDTF">2025-09-29T17:18:22Z</dcterms:modified>
  <cp:revision>4</cp:revision>
  <dc:subject/>
  <dc:title/>
</cp:coreProperties>
</file>